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7F" w:rsidRDefault="0076377F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76377F" w:rsidRDefault="0076377F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76377F" w:rsidRDefault="0076377F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76377F" w:rsidRDefault="0076377F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76377F" w:rsidRDefault="0076377F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76377F" w:rsidRDefault="00253249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洛阳高新区</w:t>
      </w:r>
      <w:r w:rsidR="00786BE1">
        <w:rPr>
          <w:rFonts w:ascii="黑体" w:eastAsia="黑体" w:hAnsi="黑体" w:hint="eastAsia"/>
          <w:color w:val="000000"/>
          <w:sz w:val="52"/>
          <w:szCs w:val="52"/>
        </w:rPr>
        <w:t>孙旗屯乡</w:t>
      </w:r>
      <w:r w:rsidR="008078FD">
        <w:rPr>
          <w:rFonts w:ascii="黑体" w:eastAsia="黑体" w:hAnsi="黑体" w:hint="eastAsia"/>
          <w:color w:val="000000"/>
          <w:sz w:val="52"/>
          <w:szCs w:val="52"/>
        </w:rPr>
        <w:t>人民政府</w:t>
      </w:r>
    </w:p>
    <w:p w:rsidR="0076377F" w:rsidRDefault="00786BE1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2019年度部门预算</w:t>
      </w: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6377F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5B41D7" w:rsidRDefault="005B41D7">
      <w:pPr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76377F" w:rsidRDefault="00786BE1">
      <w:pPr>
        <w:adjustRightInd w:val="0"/>
        <w:snapToGrid w:val="0"/>
        <w:spacing w:line="360" w:lineRule="auto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方正小标宋简体" w:cs="方正小标宋简体" w:hint="eastAsia"/>
          <w:color w:val="000000"/>
          <w:sz w:val="32"/>
          <w:szCs w:val="32"/>
        </w:rPr>
        <w:t>二○一九年三月</w:t>
      </w:r>
    </w:p>
    <w:p w:rsidR="0076377F" w:rsidRDefault="0076377F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B41D7" w:rsidRDefault="005B41D7" w:rsidP="00253249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</w:p>
    <w:p w:rsidR="0076377F" w:rsidRDefault="00786BE1" w:rsidP="00253249">
      <w:pPr>
        <w:kinsoku w:val="0"/>
        <w:overflowPunct w:val="0"/>
        <w:adjustRightInd w:val="0"/>
        <w:snapToGrid w:val="0"/>
        <w:spacing w:line="580" w:lineRule="exact"/>
        <w:ind w:left="-142" w:right="51" w:firstLineChars="7" w:firstLine="31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lastRenderedPageBreak/>
        <w:t>目</w:t>
      </w:r>
      <w:r>
        <w:rPr>
          <w:rFonts w:ascii="方正小标宋简体" w:eastAsia="方正小标宋简体" w:hAnsi="仿宋_GB2312" w:cs="仿宋_GB2312" w:hint="eastAsia"/>
          <w:color w:val="000000"/>
          <w:spacing w:val="2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录</w:t>
      </w:r>
    </w:p>
    <w:p w:rsidR="0076377F" w:rsidRDefault="0076377F" w:rsidP="00253249">
      <w:pPr>
        <w:kinsoku w:val="0"/>
        <w:overflowPunct w:val="0"/>
        <w:adjustRightInd w:val="0"/>
        <w:snapToGrid w:val="0"/>
        <w:spacing w:line="580" w:lineRule="exact"/>
        <w:ind w:right="3569"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76377F" w:rsidRDefault="00786BE1" w:rsidP="00253249">
      <w:pPr>
        <w:kinsoku w:val="0"/>
        <w:overflowPunct w:val="0"/>
        <w:adjustRightInd w:val="0"/>
        <w:snapToGrid w:val="0"/>
        <w:spacing w:line="360" w:lineRule="auto"/>
        <w:ind w:right="3569" w:firstLineChars="200" w:firstLine="643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  概况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 xml:space="preserve"> 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二、部门预算单位构成</w:t>
      </w:r>
    </w:p>
    <w:p w:rsidR="0076377F" w:rsidRDefault="00786BE1" w:rsidP="00253249">
      <w:pPr>
        <w:kinsoku w:val="0"/>
        <w:overflowPunct w:val="0"/>
        <w:adjustRightInd w:val="0"/>
        <w:snapToGrid w:val="0"/>
        <w:spacing w:line="360" w:lineRule="auto"/>
        <w:ind w:right="521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第二部分 </w:t>
      </w:r>
      <w:r w:rsidR="002448C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洛阳高新区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孙旗屯乡</w:t>
      </w:r>
      <w:r w:rsidR="008078F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2019年部门预算情况说明</w:t>
      </w:r>
    </w:p>
    <w:p w:rsidR="0076377F" w:rsidRDefault="00786BE1" w:rsidP="00253249">
      <w:pPr>
        <w:kinsoku w:val="0"/>
        <w:overflowPunct w:val="0"/>
        <w:adjustRightInd w:val="0"/>
        <w:snapToGrid w:val="0"/>
        <w:spacing w:line="360" w:lineRule="auto"/>
        <w:ind w:right="521"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 名词解释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pacing w:val="-32"/>
          <w:sz w:val="32"/>
          <w:szCs w:val="32"/>
        </w:rPr>
        <w:t xml:space="preserve"> </w:t>
      </w:r>
      <w:r w:rsidR="002448CB">
        <w:rPr>
          <w:rFonts w:ascii="仿宋_GB2312" w:eastAsia="仿宋_GB2312" w:hAnsi="仿宋_GB2312" w:cs="仿宋_GB2312" w:hint="eastAsia"/>
          <w:sz w:val="32"/>
          <w:szCs w:val="32"/>
        </w:rPr>
        <w:t>洛阳高新区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2019年度部门预算表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一、部门收支总体情况表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二、部门收入总体情况表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三、部门支出总体情况表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四、财政拨款收支总体情况表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五、一般公共预算支出情况表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六、一般公共预算基本支出情况表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七、一般公共预算“三公”经费支出情况表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八、政府性基金预算支出情况表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九、国有资本经营预算收支情况表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十、机关运行经费</w:t>
      </w:r>
    </w:p>
    <w:p w:rsidR="0076377F" w:rsidRDefault="00786BE1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十一、预算项目支出绩效目标表</w:t>
      </w:r>
    </w:p>
    <w:p w:rsidR="0076377F" w:rsidRDefault="0076377F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187D91" w:rsidRDefault="00187D91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76377F" w:rsidRDefault="00786BE1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第一部分</w:t>
      </w:r>
    </w:p>
    <w:p w:rsidR="0076377F" w:rsidRDefault="00786BE1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孙旗屯乡</w:t>
      </w:r>
      <w:r w:rsidR="008078FD" w:rsidRPr="008078FD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人民政府</w:t>
      </w: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概况</w:t>
      </w:r>
    </w:p>
    <w:p w:rsidR="000C1BBE" w:rsidRPr="000C1BBE" w:rsidRDefault="000C1BBE">
      <w:pPr>
        <w:adjustRightInd w:val="0"/>
        <w:snapToGrid w:val="0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76377F" w:rsidRDefault="006E41F4" w:rsidP="006E41F4">
      <w:pPr>
        <w:adjustRightInd w:val="0"/>
        <w:snapToGrid w:val="0"/>
        <w:spacing w:line="580" w:lineRule="exact"/>
        <w:outlineLvl w:val="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一、</w:t>
      </w:r>
      <w:r w:rsidR="00786BE1">
        <w:rPr>
          <w:rFonts w:ascii="黑体" w:eastAsia="黑体" w:hAnsi="仿宋_GB2312" w:cs="仿宋_GB2312" w:hint="eastAsia"/>
          <w:color w:val="000000"/>
          <w:sz w:val="32"/>
          <w:szCs w:val="32"/>
        </w:rPr>
        <w:t>主要职能</w:t>
      </w:r>
    </w:p>
    <w:p w:rsidR="0076377F" w:rsidRDefault="00786BE1">
      <w:pPr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（一）机构设置情况</w:t>
      </w:r>
    </w:p>
    <w:p w:rsidR="0076377F" w:rsidRDefault="00786BE1">
      <w:pPr>
        <w:rPr>
          <w:rStyle w:val="fontstyle01"/>
          <w:rFonts w:eastAsia="仿宋"/>
          <w:color w:val="000000"/>
          <w:sz w:val="32"/>
          <w:szCs w:val="32"/>
        </w:rPr>
      </w:pPr>
      <w:r>
        <w:rPr>
          <w:rStyle w:val="fontstyle01"/>
          <w:rFonts w:eastAsia="仿宋" w:hint="eastAsia"/>
          <w:color w:val="000000"/>
          <w:sz w:val="32"/>
          <w:szCs w:val="32"/>
        </w:rPr>
        <w:t xml:space="preserve">   </w:t>
      </w:r>
      <w:r w:rsidR="002448CB">
        <w:rPr>
          <w:rFonts w:ascii="仿宋_GB2312" w:eastAsia="仿宋_GB2312" w:hAnsi="仿宋_GB2312" w:cs="仿宋_GB2312" w:hint="eastAsia"/>
          <w:sz w:val="32"/>
          <w:szCs w:val="32"/>
        </w:rPr>
        <w:t>洛阳高新区孙旗屯</w:t>
      </w:r>
      <w:r>
        <w:rPr>
          <w:rStyle w:val="fontstyle01"/>
          <w:rFonts w:eastAsia="仿宋" w:hint="eastAsia"/>
          <w:color w:val="000000"/>
          <w:sz w:val="32"/>
          <w:szCs w:val="32"/>
        </w:rPr>
        <w:t>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Style w:val="fontstyle01"/>
          <w:rFonts w:eastAsia="仿宋"/>
          <w:color w:val="000000"/>
          <w:sz w:val="32"/>
          <w:szCs w:val="32"/>
        </w:rPr>
        <w:t>内设党政办公室、社会事务办公室、经济发展办公室、农业服务中心、文化服务中心、村镇建设发展中心、计划生育服务中心、劳动保障事务所、国土资源所、财政所等</w:t>
      </w:r>
      <w:r>
        <w:rPr>
          <w:rStyle w:val="fontstyle31"/>
          <w:rFonts w:ascii="仿宋" w:eastAsia="仿宋" w:hAnsi="仿宋"/>
        </w:rPr>
        <w:t>10</w:t>
      </w:r>
      <w:r>
        <w:rPr>
          <w:rStyle w:val="fontstyle01"/>
          <w:rFonts w:eastAsia="仿宋"/>
          <w:color w:val="000000"/>
          <w:sz w:val="32"/>
          <w:szCs w:val="32"/>
        </w:rPr>
        <w:t>个职能</w:t>
      </w:r>
      <w:r>
        <w:rPr>
          <w:rStyle w:val="fontstyle01"/>
          <w:rFonts w:eastAsia="仿宋" w:hint="eastAsia"/>
          <w:color w:val="000000"/>
          <w:sz w:val="32"/>
          <w:szCs w:val="32"/>
        </w:rPr>
        <w:t>部门</w:t>
      </w:r>
      <w:r>
        <w:rPr>
          <w:rStyle w:val="fontstyle01"/>
          <w:rFonts w:eastAsia="仿宋"/>
          <w:color w:val="000000"/>
          <w:sz w:val="32"/>
          <w:szCs w:val="32"/>
        </w:rPr>
        <w:t>。</w:t>
      </w:r>
    </w:p>
    <w:p w:rsidR="0076377F" w:rsidRDefault="006E41F4" w:rsidP="006E41F4">
      <w:p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 xml:space="preserve"> </w:t>
      </w:r>
      <w:r w:rsidR="00786BE1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（二）部门职责</w:t>
      </w:r>
    </w:p>
    <w:p w:rsidR="0076377F" w:rsidRDefault="00786B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制定和组织实施经济、科技和社会发展计划，抓好招商引资，组织经济运行，促进经济发展。制定并组织实施村镇建设规划，部署重点工程建设，地方道路建设及公共设施，水利设施的管理，负责自然资源和生态环境的保护。负责本行政区域内的民政、计划生育、文化教育、卫生、体育等社会公益事业的综合性工作,抓好精神文明建设，丰富群众文化生活，树立社会主义新风尚。</w:t>
      </w:r>
      <w:bookmarkStart w:id="0" w:name="_GoBack"/>
      <w:bookmarkEnd w:id="0"/>
    </w:p>
    <w:p w:rsidR="0076377F" w:rsidRDefault="00786BE1">
      <w:pPr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二、孙旗屯乡预算单位构成</w:t>
      </w:r>
    </w:p>
    <w:p w:rsidR="0076377F" w:rsidRPr="00187D91" w:rsidRDefault="00786BE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机构编制管理部门核定编制86名，其中：行政编制33名，事业编制53名。现实有在职人员64人，其中：行政人员23人，事业人员41人。退休人员53人。</w:t>
      </w:r>
    </w:p>
    <w:p w:rsidR="00253249" w:rsidRDefault="00253249">
      <w:pPr>
        <w:widowControl/>
        <w:shd w:val="clear" w:color="auto" w:fill="FFFFFF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</w:p>
    <w:p w:rsidR="0076377F" w:rsidRDefault="00786BE1">
      <w:pPr>
        <w:widowControl/>
        <w:shd w:val="clear" w:color="auto" w:fill="FFFFFF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第二部分</w:t>
      </w:r>
    </w:p>
    <w:p w:rsidR="0076377F" w:rsidRDefault="002448CB">
      <w:pPr>
        <w:widowControl/>
        <w:shd w:val="clear" w:color="auto" w:fill="FFFFFF"/>
        <w:spacing w:line="580" w:lineRule="exact"/>
        <w:jc w:val="center"/>
        <w:rPr>
          <w:rFonts w:ascii="黑体" w:eastAsia="黑体" w:hAnsi="仿宋_GB2312" w:cs="仿宋_GB2312"/>
          <w:bCs/>
          <w:color w:val="000000"/>
          <w:sz w:val="36"/>
          <w:szCs w:val="36"/>
        </w:rPr>
      </w:pPr>
      <w:r w:rsidRPr="002448CB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洛阳高新区孙旗屯乡</w:t>
      </w:r>
      <w:r w:rsidR="008078FD" w:rsidRPr="008078FD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人民政府</w:t>
      </w:r>
      <w:r w:rsidR="00786BE1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2019年度部门预算</w:t>
      </w:r>
      <w:r w:rsidR="008078FD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 xml:space="preserve">  </w:t>
      </w:r>
      <w:r w:rsidR="00786BE1">
        <w:rPr>
          <w:rFonts w:ascii="黑体" w:eastAsia="黑体" w:hAnsi="仿宋_GB2312" w:cs="仿宋_GB2312" w:hint="eastAsia"/>
          <w:bCs/>
          <w:color w:val="000000"/>
          <w:sz w:val="36"/>
          <w:szCs w:val="36"/>
        </w:rPr>
        <w:t>情况说明</w:t>
      </w:r>
    </w:p>
    <w:p w:rsidR="0076377F" w:rsidRDefault="0076377F">
      <w:pPr>
        <w:adjustRightInd w:val="0"/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86BE1">
      <w:pPr>
        <w:adjustRightInd w:val="0"/>
        <w:snapToGrid w:val="0"/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一、收入支出预算总体情况说明</w:t>
      </w:r>
    </w:p>
    <w:p w:rsidR="0076377F" w:rsidRDefault="002448CB">
      <w:pPr>
        <w:adjustRightInd w:val="0"/>
        <w:snapToGrid w:val="0"/>
        <w:spacing w:line="580" w:lineRule="exact"/>
        <w:ind w:firstLineChars="200" w:firstLine="640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2019年收入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7092万元，支出总计7092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万元，与2018年相比，收、支总计减少了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14445</w:t>
      </w:r>
      <w:r w:rsidR="00786BE1">
        <w:rPr>
          <w:rStyle w:val="fontstyle01"/>
          <w:rFonts w:eastAsia="仿宋"/>
          <w:color w:val="auto"/>
          <w:sz w:val="32"/>
          <w:szCs w:val="32"/>
        </w:rPr>
        <w:t>万元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，减少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67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%。主要原因：受财政体制改革影响，乡政府财政收支统一纳入高新区管理范畴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。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 xml:space="preserve">  </w:t>
      </w:r>
    </w:p>
    <w:p w:rsidR="0076377F" w:rsidRDefault="00786BE1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二、收入预算总体情况说明</w:t>
      </w:r>
    </w:p>
    <w:p w:rsidR="0076377F" w:rsidRDefault="002448CB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2019年收入合计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7092万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元，其中：一般公共预算收入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7092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万元; 政府性基金预算收入</w:t>
      </w:r>
      <w:r w:rsidR="00786BE1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万元；国有资本经营预算收入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万元；其他收入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76377F" w:rsidRDefault="00786BE1">
      <w:pPr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三、支出预算总体情况说明</w:t>
      </w:r>
    </w:p>
    <w:p w:rsidR="0076377F" w:rsidRDefault="00786BE1">
      <w:pPr>
        <w:jc w:val="left"/>
        <w:rPr>
          <w:rStyle w:val="fontstyle01"/>
          <w:rFonts w:eastAsia="仿宋"/>
          <w:color w:val="FF0000"/>
          <w:sz w:val="32"/>
          <w:szCs w:val="32"/>
        </w:rPr>
      </w:pPr>
      <w:r>
        <w:rPr>
          <w:rStyle w:val="fontstyle21"/>
          <w:rFonts w:ascii="仿宋" w:eastAsia="仿宋" w:hAnsi="仿宋" w:hint="eastAsia"/>
          <w:color w:val="auto"/>
        </w:rPr>
        <w:t xml:space="preserve">  </w:t>
      </w:r>
      <w:r w:rsidR="002448CB"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2019年支出合计</w:t>
      </w:r>
      <w:r>
        <w:rPr>
          <w:rStyle w:val="fontstyle01"/>
          <w:rFonts w:eastAsia="仿宋" w:hint="eastAsia"/>
          <w:color w:val="auto"/>
          <w:sz w:val="32"/>
          <w:szCs w:val="32"/>
        </w:rPr>
        <w:t>7092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万元，其中：基本支出1755万元，占25%；项目支出5337万元，占75%。</w:t>
      </w:r>
    </w:p>
    <w:p w:rsidR="0076377F" w:rsidRDefault="00786BE1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四、财政拨款收入支出预算总体情况说明</w:t>
      </w:r>
    </w:p>
    <w:p w:rsidR="0076377F" w:rsidRPr="00253249" w:rsidRDefault="002448CB" w:rsidP="00253249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2019年一般公共预算收支预算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7092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万元。政府性基金收支预算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 2018年相比，一般公共预算收支预算减少了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14445</w:t>
      </w:r>
      <w:r w:rsidR="00786BE1">
        <w:rPr>
          <w:rStyle w:val="fontstyle01"/>
          <w:rFonts w:eastAsia="仿宋"/>
          <w:color w:val="auto"/>
          <w:sz w:val="32"/>
          <w:szCs w:val="32"/>
        </w:rPr>
        <w:t>万元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，减少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lastRenderedPageBreak/>
        <w:t>67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%，主要原因：受财政体制改革影响，</w:t>
      </w:r>
      <w:r w:rsidR="006E41F4">
        <w:rPr>
          <w:rFonts w:ascii="仿宋_GB2312" w:eastAsia="仿宋_GB2312" w:hAnsi="仿宋_GB2312" w:cs="仿宋_GB2312" w:hint="eastAsia"/>
          <w:sz w:val="32"/>
          <w:szCs w:val="32"/>
        </w:rPr>
        <w:t>孙旗屯乡</w:t>
      </w:r>
      <w:r w:rsidR="006E41F4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财政收支统一纳入高新区管理范畴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；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政府性基金收支增加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 w:rsidR="00786BE1">
        <w:rPr>
          <w:rFonts w:ascii="Arial" w:eastAsia="仿宋_GB2312" w:hAnsi="Arial" w:cs="Arial" w:hint="eastAsia"/>
          <w:color w:val="000000"/>
          <w:sz w:val="32"/>
          <w:szCs w:val="32"/>
        </w:rPr>
        <w:t>万元。</w:t>
      </w:r>
    </w:p>
    <w:p w:rsidR="0076377F" w:rsidRDefault="00786BE1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五、一般公共预算支出预算情况说明</w:t>
      </w:r>
    </w:p>
    <w:p w:rsidR="0076377F" w:rsidRDefault="002448CB">
      <w:pPr>
        <w:spacing w:line="580" w:lineRule="exact"/>
        <w:ind w:firstLine="640"/>
        <w:outlineLvl w:val="0"/>
        <w:rPr>
          <w:rStyle w:val="fontstyle01"/>
          <w:rFonts w:eastAsia="仿宋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2019年一般公共预算支出年初预算为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7092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万元。主要用于以下方面：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一般公共服务支出4746万元，占67%；社会保障和就业支出458万元，占6%；医疗卫生与计划生育支出224万元，占3%；农林水支出446万元，占6%；</w:t>
      </w:r>
      <w:r w:rsidR="00786BE1">
        <w:rPr>
          <w:rStyle w:val="fontstyle01"/>
          <w:rFonts w:eastAsia="仿宋"/>
          <w:color w:val="auto"/>
          <w:sz w:val="32"/>
          <w:szCs w:val="32"/>
        </w:rPr>
        <w:t>城乡社区公共设施支出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927</w:t>
      </w:r>
      <w:r w:rsidR="00786BE1">
        <w:rPr>
          <w:rStyle w:val="fontstyle01"/>
          <w:rFonts w:eastAsia="仿宋"/>
          <w:color w:val="auto"/>
          <w:sz w:val="32"/>
          <w:szCs w:val="32"/>
        </w:rPr>
        <w:t>万元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，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占13%；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交通运输200万元，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占3%；住房公积金91万元，占2%</w:t>
      </w:r>
      <w:r w:rsidR="00786BE1">
        <w:rPr>
          <w:rStyle w:val="fontstyle01"/>
          <w:rFonts w:eastAsia="仿宋" w:hint="eastAsia"/>
          <w:color w:val="auto"/>
          <w:sz w:val="32"/>
          <w:szCs w:val="32"/>
        </w:rPr>
        <w:t>。</w:t>
      </w:r>
    </w:p>
    <w:p w:rsidR="0076377F" w:rsidRDefault="00786BE1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六、一般公共预算基本支出预算情况说明</w:t>
      </w:r>
    </w:p>
    <w:p w:rsidR="0076377F" w:rsidRDefault="002448CB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2019年一般公共预算基本支出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1755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万元，其中：</w:t>
      </w:r>
      <w:r w:rsidR="00786BE1">
        <w:rPr>
          <w:rFonts w:ascii="仿宋_GB2312" w:eastAsia="仿宋_GB2312" w:hAnsi="仿宋_GB2312" w:cs="仿宋_GB2312" w:hint="eastAsia"/>
          <w:b/>
          <w:color w:val="000000"/>
          <w:spacing w:val="-1"/>
          <w:kern w:val="0"/>
          <w:sz w:val="32"/>
          <w:szCs w:val="32"/>
        </w:rPr>
        <w:t>人员经费</w:t>
      </w:r>
      <w:r w:rsidR="00786BE1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1655</w:t>
      </w:r>
      <w:r w:rsidR="00786BE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万元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 w:rsidR="00786BE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公用经费100万元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主要包括：办公费、印刷费、水费、电费、邮电费、取暖费、物业管理费、差旅费、维修（护）费、租赁费、会议费、培训费、劳务费、委托业务费、福利费、公务用车运行维护费、其他交通费用、其他商品和服务支出、债务利息、办公设备购置、专用设备购置、基础设施建设、大型修缮、信息网络及软件购置更新和其他支出。</w:t>
      </w:r>
    </w:p>
    <w:p w:rsidR="0076377F" w:rsidRDefault="00786BE1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七、政府性基金预算支出预算情况说明</w:t>
      </w:r>
    </w:p>
    <w:p w:rsidR="0076377F" w:rsidRDefault="00786BE1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我单位2019年没有使用政府性基金预算拨款安排的支出。</w:t>
      </w:r>
    </w:p>
    <w:p w:rsidR="0076377F" w:rsidRDefault="00786BE1">
      <w:pPr>
        <w:numPr>
          <w:ilvl w:val="0"/>
          <w:numId w:val="2"/>
        </w:numPr>
        <w:spacing w:line="58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国有资本经营预算支出预算情况说明</w:t>
      </w:r>
    </w:p>
    <w:p w:rsidR="0076377F" w:rsidRDefault="00786BE1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我单位2019年没有使用国有资本经营预算拨款安排的支出。</w:t>
      </w:r>
    </w:p>
    <w:p w:rsidR="0076377F" w:rsidRDefault="00786BE1">
      <w:pPr>
        <w:spacing w:line="58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九、“三公”经费支出预算情况说明</w:t>
      </w:r>
    </w:p>
    <w:p w:rsidR="0076377F" w:rsidRDefault="002448C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2019年“三公”经费预算为2.4万元。 比 2018年预算数减少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3.6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万元，下降40</w:t>
      </w:r>
      <w:r w:rsidR="00786BE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%</w:t>
      </w:r>
      <w:r w:rsidR="00786B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具体支出情况如下：</w:t>
      </w:r>
    </w:p>
    <w:p w:rsidR="0076377F" w:rsidRDefault="00786BE1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 xml:space="preserve"> 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</w:p>
    <w:p w:rsidR="0076377F" w:rsidRDefault="00786BE1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元。其中公务车辆购置费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公务用车运行维护费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，主要用于</w:t>
      </w:r>
      <w:r>
        <w:rPr>
          <w:rStyle w:val="fontstyle01"/>
          <w:rFonts w:eastAsia="仿宋" w:hint="eastAsia"/>
          <w:color w:val="auto"/>
          <w:sz w:val="32"/>
          <w:szCs w:val="32"/>
        </w:rPr>
        <w:t>政府</w:t>
      </w:r>
      <w:r>
        <w:rPr>
          <w:rStyle w:val="fontstyle01"/>
          <w:rFonts w:eastAsia="仿宋"/>
          <w:color w:val="auto"/>
          <w:sz w:val="32"/>
          <w:szCs w:val="32"/>
        </w:rPr>
        <w:t>公车运行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,比2018年减少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3.6万元，较上年下降40%，主要原因：厉行节约，减少公务用车支出。</w:t>
      </w:r>
    </w:p>
    <w:p w:rsidR="0076377F" w:rsidRDefault="00786BE1">
      <w:pPr>
        <w:numPr>
          <w:ilvl w:val="0"/>
          <w:numId w:val="3"/>
        </w:numPr>
        <w:spacing w:line="580" w:lineRule="exact"/>
        <w:ind w:firstLineChars="200" w:firstLine="636"/>
        <w:outlineLvl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pacing w:val="-1"/>
          <w:kern w:val="0"/>
          <w:sz w:val="32"/>
          <w:szCs w:val="32"/>
        </w:rPr>
        <w:t>公务接待费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36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1"/>
          <w:kern w:val="0"/>
          <w:sz w:val="32"/>
          <w:szCs w:val="32"/>
        </w:rPr>
        <w:t>十、其他重要事项的情况说明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（一）机关运行经费支出情况</w:t>
      </w:r>
    </w:p>
    <w:p w:rsidR="0076377F" w:rsidRDefault="002448CB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 w:rsidR="00786BE1">
        <w:rPr>
          <w:rFonts w:ascii="仿宋_GB2312" w:eastAsia="仿宋_GB2312" w:hAnsi="仿宋_GB2312" w:cs="仿宋_GB2312" w:hint="eastAsia"/>
          <w:sz w:val="32"/>
          <w:szCs w:val="32"/>
        </w:rPr>
        <w:t>2019年机关运行经费支出预算</w:t>
      </w:r>
      <w:r w:rsidR="00786BE1"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 w:rsidR="00786BE1">
        <w:rPr>
          <w:rFonts w:ascii="仿宋_GB2312" w:eastAsia="仿宋_GB2312" w:hAnsi="仿宋_GB2312" w:cs="仿宋_GB2312" w:hint="eastAsia"/>
          <w:sz w:val="32"/>
          <w:szCs w:val="32"/>
        </w:rPr>
        <w:t>万元，主要保障机关机构正常运转及正常履职需要的办公费、水电费、物业费、维修费、差旅费等支出，</w:t>
      </w:r>
      <w:r w:rsidR="00786BE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比2018年减少14</w:t>
      </w:r>
      <w:r w:rsidR="00786BE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万元，下降12%，主要原因：厉行节约，压缩开支</w:t>
      </w:r>
      <w:r w:rsidR="00786BE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outlineLvl w:val="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 xml:space="preserve">   （二）政府采购支出情况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2019年政府采购预算安排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政府采购货物预算15万元、政府采购工程预算180万元。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（三）关于预算绩效管理工作开展情况说明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2018年,我</w:t>
      </w:r>
      <w:r w:rsidR="00F17932"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对9个项目进行了预算绩效评价，涉及资金1167万元。</w:t>
      </w:r>
      <w:r>
        <w:rPr>
          <w:rFonts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2019年，我乡纳入预算绩效管理的支出总额为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3774.15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万元，其中人员经费支出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1572.15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万元，公用经费支出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56.4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万元，支出项目共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2145.6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万元，其中预算支出100万元及100万元以上项目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个，支出总额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2033.4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76377F" w:rsidRDefault="00786BE1">
      <w:pPr>
        <w:spacing w:line="580" w:lineRule="exact"/>
        <w:ind w:leftChars="200" w:left="42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>（四）国有资产占用情况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2018年期末，</w:t>
      </w:r>
      <w:r w:rsidR="002448CB">
        <w:rPr>
          <w:rFonts w:ascii="仿宋_GB2312" w:eastAsia="仿宋_GB2312" w:hAnsi="仿宋_GB2312" w:cs="仿宋_GB2312" w:hint="eastAsia"/>
          <w:sz w:val="32"/>
          <w:szCs w:val="32"/>
        </w:rPr>
        <w:t>洛阳高新区孙旗屯乡</w:t>
      </w:r>
      <w:r w:rsidR="008078FD" w:rsidRPr="008078FD"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固定资产总额1389万元，其中，房屋建筑物996万元，车辆16.7万元。共有车辆1辆，其中：一般公务用车1辆；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单价50万元以上通用设备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台（套），单位价值100万元以上专用设备</w:t>
      </w:r>
      <w:r w:rsidR="00F17932" w:rsidRPr="00F17932">
        <w:rPr>
          <w:rFonts w:asciiTheme="minorEastAsia" w:eastAsiaTheme="minorEastAsia" w:hAnsiTheme="minorEastAsia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台（套）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76377F" w:rsidRDefault="00786BE1">
      <w:pPr>
        <w:widowControl/>
        <w:spacing w:line="580" w:lineRule="exact"/>
        <w:ind w:firstLineChars="200" w:firstLine="640"/>
        <w:rPr>
          <w:rFonts w:ascii="楷体_GB2312" w:eastAsia="楷体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</w:rPr>
        <w:t>（五）关于预算部门构成说明</w:t>
      </w:r>
    </w:p>
    <w:p w:rsidR="0076377F" w:rsidRDefault="00786BE1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2019年我单位按照市财政预算公开要求，将所属预算单位全部纳入预算公开范围。</w:t>
      </w:r>
    </w:p>
    <w:p w:rsidR="0076377F" w:rsidRDefault="0076377F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76377F" w:rsidRDefault="0076377F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76377F" w:rsidRDefault="0076377F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76377F" w:rsidRDefault="0076377F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187D91" w:rsidRDefault="00187D91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253249" w:rsidRDefault="00253249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253249" w:rsidRDefault="00253249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76377F" w:rsidRDefault="00786BE1">
      <w:pPr>
        <w:adjustRightInd w:val="0"/>
        <w:snapToGrid w:val="0"/>
        <w:spacing w:line="58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第三部分  名词解释</w:t>
      </w:r>
    </w:p>
    <w:p w:rsidR="0076377F" w:rsidRDefault="0076377F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一、财政拨款收入：是指</w:t>
      </w:r>
      <w:r w:rsidR="0025324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级财政当年拨付的资金。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二、事业收入：是指事业单位开展专业活动及辅助活动所取 得的收入。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 w:rsidR="0076377F" w:rsidRDefault="00786BE1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六、“三公”经费：是指纳入</w:t>
      </w:r>
      <w:r w:rsidR="0025324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76377F" w:rsidRDefault="00786BE1" w:rsidP="00875CD5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七、机关运行经费：是指为保障行政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公务用车运行维护费以及其他费用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等支出。</w:t>
      </w:r>
    </w:p>
    <w:p w:rsidR="0076377F" w:rsidRDefault="007637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86BE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附件：孙旗屯乡</w:t>
      </w:r>
      <w:r w:rsidR="005B41D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人民政府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2019年度部门预算表</w:t>
      </w:r>
    </w:p>
    <w:p w:rsidR="0076377F" w:rsidRDefault="007637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637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86BE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highlight w:val="magent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2019年3月12日</w:t>
      </w:r>
    </w:p>
    <w:p w:rsidR="0076377F" w:rsidRDefault="0076377F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6377F">
      <w:pPr>
        <w:spacing w:line="580" w:lineRule="exact"/>
        <w:outlineLvl w:val="0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</w:p>
    <w:p w:rsidR="0076377F" w:rsidRDefault="0076377F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6377F">
      <w:pPr>
        <w:spacing w:line="580" w:lineRule="exact"/>
        <w:ind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6377F" w:rsidRDefault="0076377F">
      <w:pPr>
        <w:jc w:val="left"/>
        <w:rPr>
          <w:rStyle w:val="fontstyle01"/>
          <w:rFonts w:eastAsia="仿宋"/>
          <w:color w:val="FF0000"/>
          <w:sz w:val="32"/>
          <w:szCs w:val="32"/>
        </w:rPr>
      </w:pPr>
    </w:p>
    <w:p w:rsidR="0076377F" w:rsidRDefault="0076377F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76377F" w:rsidRDefault="00786BE1">
      <w:pPr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/>
      </w:r>
    </w:p>
    <w:p w:rsidR="0076377F" w:rsidRDefault="0076377F">
      <w:p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ascii="楷体_GB2312" w:eastAsia="楷体_GB2312" w:hAnsi="仿宋_GB2312" w:cs="仿宋_GB2312"/>
          <w:color w:val="000000"/>
          <w:sz w:val="32"/>
          <w:szCs w:val="32"/>
        </w:rPr>
      </w:pPr>
    </w:p>
    <w:p w:rsidR="0076377F" w:rsidRDefault="00786B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br/>
      </w:r>
    </w:p>
    <w:sectPr w:rsidR="0076377F" w:rsidSect="0076377F">
      <w:pgSz w:w="11906" w:h="16838"/>
      <w:pgMar w:top="1440" w:right="1797" w:bottom="1440" w:left="1797" w:header="851" w:footer="992" w:gutter="0"/>
      <w:pgNumType w:start="0"/>
      <w:cols w:space="0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E2" w:rsidRDefault="001431E2" w:rsidP="00253249">
      <w:r>
        <w:separator/>
      </w:r>
    </w:p>
  </w:endnote>
  <w:endnote w:type="continuationSeparator" w:id="0">
    <w:p w:rsidR="001431E2" w:rsidRDefault="001431E2" w:rsidP="0025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decorative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E2" w:rsidRDefault="001431E2" w:rsidP="00253249">
      <w:r>
        <w:separator/>
      </w:r>
    </w:p>
  </w:footnote>
  <w:footnote w:type="continuationSeparator" w:id="0">
    <w:p w:rsidR="001431E2" w:rsidRDefault="001431E2" w:rsidP="0025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DE8B33C"/>
    <w:multiLevelType w:val="singleLevel"/>
    <w:tmpl w:val="5DE8B33C"/>
    <w:lvl w:ilvl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1BBE"/>
    <w:rsid w:val="001431E2"/>
    <w:rsid w:val="00172A27"/>
    <w:rsid w:val="00187D91"/>
    <w:rsid w:val="002448CB"/>
    <w:rsid w:val="00253249"/>
    <w:rsid w:val="003247F3"/>
    <w:rsid w:val="0038523C"/>
    <w:rsid w:val="003D75CF"/>
    <w:rsid w:val="005B41D7"/>
    <w:rsid w:val="006E41F4"/>
    <w:rsid w:val="0076377F"/>
    <w:rsid w:val="00786BE1"/>
    <w:rsid w:val="008078FD"/>
    <w:rsid w:val="00875CD5"/>
    <w:rsid w:val="008F4176"/>
    <w:rsid w:val="009B1E6F"/>
    <w:rsid w:val="00A73262"/>
    <w:rsid w:val="00AE4CED"/>
    <w:rsid w:val="00DB3145"/>
    <w:rsid w:val="00E02C32"/>
    <w:rsid w:val="00EA2D33"/>
    <w:rsid w:val="00F17932"/>
    <w:rsid w:val="00FD52FF"/>
    <w:rsid w:val="00FE2041"/>
    <w:rsid w:val="019C291C"/>
    <w:rsid w:val="02B86002"/>
    <w:rsid w:val="061F4A8A"/>
    <w:rsid w:val="069D376A"/>
    <w:rsid w:val="06D84848"/>
    <w:rsid w:val="0E1D1FA7"/>
    <w:rsid w:val="13064FC2"/>
    <w:rsid w:val="17606E66"/>
    <w:rsid w:val="1ECB4E14"/>
    <w:rsid w:val="240E40A7"/>
    <w:rsid w:val="2D642184"/>
    <w:rsid w:val="32EA3795"/>
    <w:rsid w:val="34DC77C8"/>
    <w:rsid w:val="4584778D"/>
    <w:rsid w:val="45863EB6"/>
    <w:rsid w:val="48D60A7C"/>
    <w:rsid w:val="495132D5"/>
    <w:rsid w:val="51131C92"/>
    <w:rsid w:val="53701161"/>
    <w:rsid w:val="556641AA"/>
    <w:rsid w:val="5A430216"/>
    <w:rsid w:val="5B604F27"/>
    <w:rsid w:val="620C5868"/>
    <w:rsid w:val="67F56F1D"/>
    <w:rsid w:val="7D8E7309"/>
    <w:rsid w:val="7E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7F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76377F"/>
    <w:rPr>
      <w:rFonts w:ascii="仿宋" w:hAnsi="仿宋" w:hint="default"/>
      <w:color w:val="333333"/>
      <w:sz w:val="44"/>
      <w:szCs w:val="44"/>
    </w:rPr>
  </w:style>
  <w:style w:type="character" w:customStyle="1" w:styleId="fontstyle31">
    <w:name w:val="fontstyle31"/>
    <w:basedOn w:val="a0"/>
    <w:qFormat/>
    <w:rsid w:val="0076377F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76377F"/>
    <w:rPr>
      <w:rFonts w:ascii="TimesNewRomanPSMT" w:hAnsi="TimesNewRomanPSMT" w:hint="default"/>
      <w:color w:val="000000"/>
      <w:sz w:val="32"/>
      <w:szCs w:val="32"/>
    </w:rPr>
  </w:style>
  <w:style w:type="paragraph" w:styleId="a3">
    <w:name w:val="header"/>
    <w:basedOn w:val="a"/>
    <w:link w:val="Char"/>
    <w:rsid w:val="0025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3249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53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324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470</Words>
  <Characters>2685</Characters>
  <Application>Microsoft Office Word</Application>
  <DocSecurity>0</DocSecurity>
  <Lines>22</Lines>
  <Paragraphs>6</Paragraphs>
  <ScaleCrop>false</ScaleCrop>
  <Company>Kingsoft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PC</cp:lastModifiedBy>
  <cp:revision>13</cp:revision>
  <dcterms:created xsi:type="dcterms:W3CDTF">2014-10-29T12:08:00Z</dcterms:created>
  <dcterms:modified xsi:type="dcterms:W3CDTF">2021-06-01T08:44:00Z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